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7AB9" w:rsidRPr="00937AB9" w:rsidRDefault="00937AB9" w:rsidP="00937AB9">
      <w:pPr>
        <w:widowControl/>
        <w:pBdr>
          <w:bottom w:val="dotted" w:sz="6" w:space="8" w:color="A3C3D2"/>
        </w:pBdr>
        <w:shd w:val="clear" w:color="auto" w:fill="F5FBFF"/>
        <w:spacing w:before="100" w:beforeAutospacing="1" w:after="300" w:line="300" w:lineRule="atLeast"/>
        <w:jc w:val="center"/>
        <w:outlineLvl w:val="4"/>
        <w:rPr>
          <w:rFonts w:ascii="ˎ̥" w:eastAsia="宋体" w:hAnsi="ˎ̥" w:cs="Arial"/>
          <w:b/>
          <w:bCs/>
          <w:color w:val="333333"/>
          <w:kern w:val="0"/>
          <w:szCs w:val="21"/>
        </w:rPr>
      </w:pPr>
      <w:r w:rsidRPr="00937AB9">
        <w:rPr>
          <w:rFonts w:ascii="ˎ̥" w:eastAsia="宋体" w:hAnsi="ˎ̥" w:cs="Arial"/>
          <w:b/>
          <w:bCs/>
          <w:color w:val="333333"/>
          <w:kern w:val="0"/>
          <w:szCs w:val="21"/>
        </w:rPr>
        <w:t>教育部财政部中国人民银行银监会关于完善国家助学贷款政策的若干意见</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color w:val="333333"/>
          <w:kern w:val="0"/>
          <w:szCs w:val="21"/>
        </w:rPr>
        <w:t>各省、自治区、直辖市教育厅（教委）、财政厅（局），计划单列市教育局、财政局，新疆生产建设兵团教育局、财务局，中国人民银行上海总部，各分行、营业管理部，各省会（首府）城市中心支行，各副省级城市中心支行，银监局，有关部门（单位）教育司（局），中央部门所属各高等学校，各银行业金融机构：</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color w:val="333333"/>
          <w:kern w:val="0"/>
          <w:szCs w:val="21"/>
        </w:rPr>
        <w:t xml:space="preserve">　　目前，我国普通高等学校家庭经济困难学生资助政策体系已基本建立。作为高校学生资助体系的重要组成部分，国家助学贷款经过多年探索和完善，逐步形成了符合中国国情和高校特点的发展模式，取得了显著成效，对确保高校家庭经济困难学生顺利完成学业发挥了重要作用。为进一步提升国家助学贷款政策实施效果，经国务院同意，现就完善国家助学贷款政策提出如下意见：</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b/>
          <w:bCs/>
          <w:color w:val="333333"/>
          <w:kern w:val="0"/>
          <w:szCs w:val="21"/>
        </w:rPr>
        <w:t xml:space="preserve">　　一、完善贷款政策，切实减轻借款学生经济负担</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color w:val="333333"/>
          <w:kern w:val="0"/>
          <w:szCs w:val="21"/>
        </w:rPr>
        <w:t xml:space="preserve">　　（一）学生在读期间利息全部由财政补贴。国家助学贷款利率执行中国人民银行同期公布的同档次基准利率，不上浮。借款学生在读期间的贷款利息由财政全额补贴。借款学生毕业后，在还款期内继续攻读学位的，可申请继续贴息，应及时向经办机构（组织办理校园地国家助学贷款的高校或组织办理生源地信用助学贷款的县级教育部门，以下简称经办机构）提供书面证明，经办机构审核后，报经办银行确认，继续攻读学位期间发生的贷款利息，由原贴息财政部门继续全额贴息。借款学生在校期间因患病等原因休学的，应向经办机构提供书面证明，由经办机构向经办银行提出申请，休学期间的贷款利息由财政全额贴息。</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color w:val="333333"/>
          <w:kern w:val="0"/>
          <w:szCs w:val="21"/>
        </w:rPr>
        <w:t xml:space="preserve">　　（二）贷款最长期限从</w:t>
      </w:r>
      <w:r w:rsidRPr="00937AB9">
        <w:rPr>
          <w:rFonts w:ascii="ˎ̥" w:eastAsia="宋体" w:hAnsi="ˎ̥" w:cs="Arial"/>
          <w:color w:val="333333"/>
          <w:kern w:val="0"/>
          <w:szCs w:val="21"/>
        </w:rPr>
        <w:t>14</w:t>
      </w:r>
      <w:r w:rsidRPr="00937AB9">
        <w:rPr>
          <w:rFonts w:ascii="ˎ̥" w:eastAsia="宋体" w:hAnsi="ˎ̥" w:cs="Arial"/>
          <w:color w:val="333333"/>
          <w:kern w:val="0"/>
          <w:szCs w:val="21"/>
        </w:rPr>
        <w:t>年延长至</w:t>
      </w:r>
      <w:r w:rsidRPr="00937AB9">
        <w:rPr>
          <w:rFonts w:ascii="ˎ̥" w:eastAsia="宋体" w:hAnsi="ˎ̥" w:cs="Arial"/>
          <w:color w:val="333333"/>
          <w:kern w:val="0"/>
          <w:szCs w:val="21"/>
        </w:rPr>
        <w:t>20</w:t>
      </w:r>
      <w:r w:rsidRPr="00937AB9">
        <w:rPr>
          <w:rFonts w:ascii="ˎ̥" w:eastAsia="宋体" w:hAnsi="ˎ̥" w:cs="Arial"/>
          <w:color w:val="333333"/>
          <w:kern w:val="0"/>
          <w:szCs w:val="21"/>
        </w:rPr>
        <w:t>年。原校园地国家助学贷款期限为学制加</w:t>
      </w:r>
      <w:r w:rsidRPr="00937AB9">
        <w:rPr>
          <w:rFonts w:ascii="ˎ̥" w:eastAsia="宋体" w:hAnsi="ˎ̥" w:cs="Arial"/>
          <w:color w:val="333333"/>
          <w:kern w:val="0"/>
          <w:szCs w:val="21"/>
        </w:rPr>
        <w:t>6</w:t>
      </w:r>
      <w:r w:rsidRPr="00937AB9">
        <w:rPr>
          <w:rFonts w:ascii="ˎ̥" w:eastAsia="宋体" w:hAnsi="ˎ̥" w:cs="Arial"/>
          <w:color w:val="333333"/>
          <w:kern w:val="0"/>
          <w:szCs w:val="21"/>
        </w:rPr>
        <w:t>年、最长不超过</w:t>
      </w:r>
      <w:r w:rsidRPr="00937AB9">
        <w:rPr>
          <w:rFonts w:ascii="ˎ̥" w:eastAsia="宋体" w:hAnsi="ˎ̥" w:cs="Arial"/>
          <w:color w:val="333333"/>
          <w:kern w:val="0"/>
          <w:szCs w:val="21"/>
        </w:rPr>
        <w:t>10</w:t>
      </w:r>
      <w:r w:rsidRPr="00937AB9">
        <w:rPr>
          <w:rFonts w:ascii="ˎ̥" w:eastAsia="宋体" w:hAnsi="ˎ̥" w:cs="Arial"/>
          <w:color w:val="333333"/>
          <w:kern w:val="0"/>
          <w:szCs w:val="21"/>
        </w:rPr>
        <w:t>年，生源地信用助学贷款期限为学制加</w:t>
      </w:r>
      <w:r w:rsidRPr="00937AB9">
        <w:rPr>
          <w:rFonts w:ascii="ˎ̥" w:eastAsia="宋体" w:hAnsi="ˎ̥" w:cs="Arial"/>
          <w:color w:val="333333"/>
          <w:kern w:val="0"/>
          <w:szCs w:val="21"/>
        </w:rPr>
        <w:t>10</w:t>
      </w:r>
      <w:r w:rsidRPr="00937AB9">
        <w:rPr>
          <w:rFonts w:ascii="ˎ̥" w:eastAsia="宋体" w:hAnsi="ˎ̥" w:cs="Arial"/>
          <w:color w:val="333333"/>
          <w:kern w:val="0"/>
          <w:szCs w:val="21"/>
        </w:rPr>
        <w:t>年、最长不超过</w:t>
      </w:r>
      <w:r w:rsidRPr="00937AB9">
        <w:rPr>
          <w:rFonts w:ascii="ˎ̥" w:eastAsia="宋体" w:hAnsi="ˎ̥" w:cs="Arial"/>
          <w:color w:val="333333"/>
          <w:kern w:val="0"/>
          <w:szCs w:val="21"/>
        </w:rPr>
        <w:t>14</w:t>
      </w:r>
      <w:r w:rsidRPr="00937AB9">
        <w:rPr>
          <w:rFonts w:ascii="ˎ̥" w:eastAsia="宋体" w:hAnsi="ˎ̥" w:cs="Arial"/>
          <w:color w:val="333333"/>
          <w:kern w:val="0"/>
          <w:szCs w:val="21"/>
        </w:rPr>
        <w:t>年，现统一调整为学制加</w:t>
      </w:r>
      <w:r w:rsidRPr="00937AB9">
        <w:rPr>
          <w:rFonts w:ascii="ˎ̥" w:eastAsia="宋体" w:hAnsi="ˎ̥" w:cs="Arial"/>
          <w:color w:val="333333"/>
          <w:kern w:val="0"/>
          <w:szCs w:val="21"/>
        </w:rPr>
        <w:t>13</w:t>
      </w:r>
      <w:r w:rsidRPr="00937AB9">
        <w:rPr>
          <w:rFonts w:ascii="ˎ̥" w:eastAsia="宋体" w:hAnsi="ˎ̥" w:cs="Arial"/>
          <w:color w:val="333333"/>
          <w:kern w:val="0"/>
          <w:szCs w:val="21"/>
        </w:rPr>
        <w:t>年、最长不超过</w:t>
      </w:r>
      <w:r w:rsidRPr="00937AB9">
        <w:rPr>
          <w:rFonts w:ascii="ˎ̥" w:eastAsia="宋体" w:hAnsi="ˎ̥" w:cs="Arial"/>
          <w:color w:val="333333"/>
          <w:kern w:val="0"/>
          <w:szCs w:val="21"/>
        </w:rPr>
        <w:t>20</w:t>
      </w:r>
      <w:r w:rsidRPr="00937AB9">
        <w:rPr>
          <w:rFonts w:ascii="ˎ̥" w:eastAsia="宋体" w:hAnsi="ˎ̥" w:cs="Arial"/>
          <w:color w:val="333333"/>
          <w:kern w:val="0"/>
          <w:szCs w:val="21"/>
        </w:rPr>
        <w:t>年。借款学生毕业或终止学业时，应与经办银行和经办机构确认还款计划，还款期限按双方签署的合同执行。</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color w:val="333333"/>
          <w:kern w:val="0"/>
          <w:szCs w:val="21"/>
        </w:rPr>
        <w:t xml:space="preserve">　　（三）还本宽限期从</w:t>
      </w:r>
      <w:r w:rsidRPr="00937AB9">
        <w:rPr>
          <w:rFonts w:ascii="ˎ̥" w:eastAsia="宋体" w:hAnsi="ˎ̥" w:cs="Arial"/>
          <w:color w:val="333333"/>
          <w:kern w:val="0"/>
          <w:szCs w:val="21"/>
        </w:rPr>
        <w:t>2</w:t>
      </w:r>
      <w:r w:rsidRPr="00937AB9">
        <w:rPr>
          <w:rFonts w:ascii="ˎ̥" w:eastAsia="宋体" w:hAnsi="ˎ̥" w:cs="Arial"/>
          <w:color w:val="333333"/>
          <w:kern w:val="0"/>
          <w:szCs w:val="21"/>
        </w:rPr>
        <w:t>年延长至</w:t>
      </w:r>
      <w:r w:rsidRPr="00937AB9">
        <w:rPr>
          <w:rFonts w:ascii="ˎ̥" w:eastAsia="宋体" w:hAnsi="ˎ̥" w:cs="Arial"/>
          <w:color w:val="333333"/>
          <w:kern w:val="0"/>
          <w:szCs w:val="21"/>
        </w:rPr>
        <w:t>3</w:t>
      </w:r>
      <w:r w:rsidRPr="00937AB9">
        <w:rPr>
          <w:rFonts w:ascii="ˎ̥" w:eastAsia="宋体" w:hAnsi="ˎ̥" w:cs="Arial"/>
          <w:color w:val="333333"/>
          <w:kern w:val="0"/>
          <w:szCs w:val="21"/>
        </w:rPr>
        <w:t>年整。借款学生毕业当年不再继续攻读学位的，与经办机构和经办银行确认还款计划时，可选择使用还本宽限期。还本宽限期内借款学生只需偿还利息，无需偿还贷款本金。还本宽限期由原来的</w:t>
      </w:r>
      <w:r w:rsidRPr="00937AB9">
        <w:rPr>
          <w:rFonts w:ascii="ˎ̥" w:eastAsia="宋体" w:hAnsi="ˎ̥" w:cs="Arial"/>
          <w:color w:val="333333"/>
          <w:kern w:val="0"/>
          <w:szCs w:val="21"/>
        </w:rPr>
        <w:t>2</w:t>
      </w:r>
      <w:r w:rsidRPr="00937AB9">
        <w:rPr>
          <w:rFonts w:ascii="ˎ̥" w:eastAsia="宋体" w:hAnsi="ˎ̥" w:cs="Arial"/>
          <w:color w:val="333333"/>
          <w:kern w:val="0"/>
          <w:szCs w:val="21"/>
        </w:rPr>
        <w:t>年延长至</w:t>
      </w:r>
      <w:r w:rsidRPr="00937AB9">
        <w:rPr>
          <w:rFonts w:ascii="ˎ̥" w:eastAsia="宋体" w:hAnsi="ˎ̥" w:cs="Arial"/>
          <w:color w:val="333333"/>
          <w:kern w:val="0"/>
          <w:szCs w:val="21"/>
        </w:rPr>
        <w:t>3</w:t>
      </w:r>
      <w:r w:rsidRPr="00937AB9">
        <w:rPr>
          <w:rFonts w:ascii="ˎ̥" w:eastAsia="宋体" w:hAnsi="ˎ̥" w:cs="Arial"/>
          <w:color w:val="333333"/>
          <w:kern w:val="0"/>
          <w:szCs w:val="21"/>
        </w:rPr>
        <w:t>年整。还本宽限期从还款计划确认开始，计算至借款学生毕业后第</w:t>
      </w:r>
      <w:r w:rsidRPr="00937AB9">
        <w:rPr>
          <w:rFonts w:ascii="ˎ̥" w:eastAsia="宋体" w:hAnsi="ˎ̥" w:cs="Arial"/>
          <w:color w:val="333333"/>
          <w:kern w:val="0"/>
          <w:szCs w:val="21"/>
        </w:rPr>
        <w:t>36</w:t>
      </w:r>
      <w:r w:rsidRPr="00937AB9">
        <w:rPr>
          <w:rFonts w:ascii="ˎ̥" w:eastAsia="宋体" w:hAnsi="ˎ̥" w:cs="Arial"/>
          <w:color w:val="333333"/>
          <w:kern w:val="0"/>
          <w:szCs w:val="21"/>
        </w:rPr>
        <w:t>个月底。在还款期内继续攻读学位的借款学生再读学位毕业后，仍可享受</w:t>
      </w:r>
      <w:r w:rsidRPr="00937AB9">
        <w:rPr>
          <w:rFonts w:ascii="ˎ̥" w:eastAsia="宋体" w:hAnsi="ˎ̥" w:cs="Arial"/>
          <w:color w:val="333333"/>
          <w:kern w:val="0"/>
          <w:szCs w:val="21"/>
        </w:rPr>
        <w:t>36</w:t>
      </w:r>
      <w:r w:rsidRPr="00937AB9">
        <w:rPr>
          <w:rFonts w:ascii="ˎ̥" w:eastAsia="宋体" w:hAnsi="ˎ̥" w:cs="Arial"/>
          <w:color w:val="333333"/>
          <w:kern w:val="0"/>
          <w:szCs w:val="21"/>
        </w:rPr>
        <w:t>个月的还本宽限期。</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color w:val="333333"/>
          <w:kern w:val="0"/>
          <w:szCs w:val="21"/>
        </w:rPr>
        <w:t xml:space="preserve">　　（四）建立国家助学贷款还款救助机制。各省级学生资助管理部门、各高校要合理利用国家助学贷款风险补偿金结余奖励资金、社会捐资助学资金或学生奖助基金，建立国家助学贷款还款救助机制，用于救助特别困难的毕业借款学生。对于因病丧失劳动能力、家庭遭遇重大自然灾害、家庭成员患有重大疾病以及经济收入特别低的毕业借款学生，如确实无法按期偿还贷款，可向经办机构提出救助申请并提供相关书面证明，经办机构核实后，可启动救助机制为其代偿应还本息。</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color w:val="333333"/>
          <w:kern w:val="0"/>
          <w:szCs w:val="21"/>
        </w:rPr>
        <w:t xml:space="preserve">　　（五）简化学生贷款手续。各经办机构和经办银行要简化贷款手续，不得要求学生提供与贷款申请无关的材料。学生开具家庭经济困难学生认定证明时，严禁收取任何费用。各经办机构和经办银行应改进服务，简化流程，借款学生继续攻读学位的，只需完成申请继续贴息的相关手续，可不再签署贷款展期协议。借款学生根据贷款合同提前还款的，经办银行按贷款实际期限计算利息，不得加收任何费用。</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b/>
          <w:bCs/>
          <w:color w:val="333333"/>
          <w:kern w:val="0"/>
          <w:szCs w:val="21"/>
        </w:rPr>
        <w:t xml:space="preserve">　　二、健全运行机制，促进国家助学贷款持续健康发展</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color w:val="333333"/>
          <w:kern w:val="0"/>
          <w:szCs w:val="21"/>
        </w:rPr>
        <w:lastRenderedPageBreak/>
        <w:t xml:space="preserve">　　（一）及时足额安排贴息及风险补偿金。各级财政部门和高校要在年度预算中足额安排应承担的国家助学贷款贴息和风险补偿金。省级财政部门负责统筹归集全省各级财政和地方高校应承担的贴息和风险补偿金，确保资金按时足额到位。</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color w:val="333333"/>
          <w:kern w:val="0"/>
          <w:szCs w:val="21"/>
        </w:rPr>
        <w:t xml:space="preserve">　　（二）完善国家助学贷款考核制度。各级金融监管部门对国家助学贷款业务监管时，综合考虑风险补偿金的缓释作用，对符合相关政策要求的风险补偿金覆盖部分适用零风险权重，未覆盖部分采用</w:t>
      </w:r>
      <w:r w:rsidRPr="00937AB9">
        <w:rPr>
          <w:rFonts w:ascii="ˎ̥" w:eastAsia="宋体" w:hAnsi="ˎ̥" w:cs="Arial"/>
          <w:color w:val="333333"/>
          <w:kern w:val="0"/>
          <w:szCs w:val="21"/>
        </w:rPr>
        <w:t>75%</w:t>
      </w:r>
      <w:r w:rsidRPr="00937AB9">
        <w:rPr>
          <w:rFonts w:ascii="ˎ̥" w:eastAsia="宋体" w:hAnsi="ˎ̥" w:cs="Arial"/>
          <w:color w:val="333333"/>
          <w:kern w:val="0"/>
          <w:szCs w:val="21"/>
        </w:rPr>
        <w:t>的风险权重。各金融机构在对国家助学贷款业务进行内部监管时，应在满足监管要求的同时，充分考虑国家助学贷款业务和风险特征，准确计量资本和拨备要求。各经办银行对国家助学贷款业务要单立台账、单设科目、单独统计和考核。</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color w:val="333333"/>
          <w:kern w:val="0"/>
          <w:szCs w:val="21"/>
        </w:rPr>
        <w:t xml:space="preserve">　　（三）积极开展诚信教育活动和征信宣传。各高校应加强学生信用意识和诚信观念教育。各级教育行政部门应加强学校诚信教育工作的定期考核和业务指导。各经办银行应按照《征信业管理条例》，严格履行信息采集和上报责任。经办银行经借款学生书面授权使用借款学生的个人征信信息，无需再次告知借款学生；对没有按合同约定归还贷款的学生，经办银行应依法向个人征信系统报送借款学生的不良信息。</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b/>
          <w:bCs/>
          <w:color w:val="333333"/>
          <w:kern w:val="0"/>
          <w:szCs w:val="21"/>
        </w:rPr>
        <w:t xml:space="preserve">　　三、加强组织领导，不断提升国家助学贷款管理水平</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color w:val="333333"/>
          <w:kern w:val="0"/>
          <w:szCs w:val="21"/>
        </w:rPr>
        <w:t xml:space="preserve">　　（一）进一步落实学费和贷款代偿政策。根据《财政部</w:t>
      </w:r>
      <w:r w:rsidRPr="00937AB9">
        <w:rPr>
          <w:rFonts w:ascii="ˎ̥" w:eastAsia="宋体" w:hAnsi="ˎ̥" w:cs="Arial"/>
          <w:color w:val="333333"/>
          <w:kern w:val="0"/>
          <w:szCs w:val="21"/>
        </w:rPr>
        <w:t xml:space="preserve"> </w:t>
      </w:r>
      <w:r w:rsidRPr="00937AB9">
        <w:rPr>
          <w:rFonts w:ascii="ˎ̥" w:eastAsia="宋体" w:hAnsi="ˎ̥" w:cs="Arial"/>
          <w:color w:val="333333"/>
          <w:kern w:val="0"/>
          <w:szCs w:val="21"/>
        </w:rPr>
        <w:t>教育部关于印发</w:t>
      </w:r>
      <w:r w:rsidRPr="00937AB9">
        <w:rPr>
          <w:rFonts w:ascii="ˎ̥" w:eastAsia="宋体" w:hAnsi="ˎ̥" w:cs="Arial"/>
          <w:color w:val="333333"/>
          <w:kern w:val="0"/>
          <w:szCs w:val="21"/>
        </w:rPr>
        <w:t>&lt;</w:t>
      </w:r>
      <w:r w:rsidRPr="00937AB9">
        <w:rPr>
          <w:rFonts w:ascii="ˎ̥" w:eastAsia="宋体" w:hAnsi="ˎ̥" w:cs="Arial"/>
          <w:color w:val="333333"/>
          <w:kern w:val="0"/>
          <w:szCs w:val="21"/>
        </w:rPr>
        <w:t>高等学校毕业生学费和国家助学贷款代偿暂行办法</w:t>
      </w:r>
      <w:r w:rsidRPr="00937AB9">
        <w:rPr>
          <w:rFonts w:ascii="ˎ̥" w:eastAsia="宋体" w:hAnsi="ˎ̥" w:cs="Arial"/>
          <w:color w:val="333333"/>
          <w:kern w:val="0"/>
          <w:szCs w:val="21"/>
        </w:rPr>
        <w:t>&gt;</w:t>
      </w:r>
      <w:r w:rsidRPr="00937AB9">
        <w:rPr>
          <w:rFonts w:ascii="ˎ̥" w:eastAsia="宋体" w:hAnsi="ˎ̥" w:cs="Arial"/>
          <w:color w:val="333333"/>
          <w:kern w:val="0"/>
          <w:szCs w:val="21"/>
        </w:rPr>
        <w:t>的通知》（财教〔</w:t>
      </w:r>
      <w:r w:rsidRPr="00937AB9">
        <w:rPr>
          <w:rFonts w:ascii="ˎ̥" w:eastAsia="宋体" w:hAnsi="ˎ̥" w:cs="Arial"/>
          <w:color w:val="333333"/>
          <w:kern w:val="0"/>
          <w:szCs w:val="21"/>
        </w:rPr>
        <w:t>2009</w:t>
      </w:r>
      <w:r w:rsidRPr="00937AB9">
        <w:rPr>
          <w:rFonts w:ascii="ˎ̥" w:eastAsia="宋体" w:hAnsi="ˎ̥" w:cs="Arial"/>
          <w:color w:val="333333"/>
          <w:kern w:val="0"/>
          <w:szCs w:val="21"/>
        </w:rPr>
        <w:t>〕</w:t>
      </w:r>
      <w:r w:rsidRPr="00937AB9">
        <w:rPr>
          <w:rFonts w:ascii="ˎ̥" w:eastAsia="宋体" w:hAnsi="ˎ̥" w:cs="Arial"/>
          <w:color w:val="333333"/>
          <w:kern w:val="0"/>
          <w:szCs w:val="21"/>
        </w:rPr>
        <w:t>15</w:t>
      </w:r>
      <w:r w:rsidRPr="00937AB9">
        <w:rPr>
          <w:rFonts w:ascii="ˎ̥" w:eastAsia="宋体" w:hAnsi="ˎ̥" w:cs="Arial"/>
          <w:color w:val="333333"/>
          <w:kern w:val="0"/>
          <w:szCs w:val="21"/>
        </w:rPr>
        <w:t>号）规定，尚未出台政策的省份应尽快出台学费和助学贷款代偿办法，鼓励地方高校毕业生到本行政区域艰苦边远地区基层单位就业。地方高校毕业生代偿资金原则上由省级财政承担，中央财政根据西部各省份财力状况、学费和国家助学贷款代偿规模以及高校家庭经济困难学生资助政策落实情况等因素，对西部省份予以奖补。</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color w:val="333333"/>
          <w:kern w:val="0"/>
          <w:szCs w:val="21"/>
        </w:rPr>
        <w:t xml:space="preserve">　　（二）加强经办机构和人员队伍建设。各县级政府要尽快成立专门的县级学生资助管理中心并确保正常运转，加强人员队伍建设并保障工资福利、职称评聘等方面待遇。地方各级教育行政部门要推动经办机构之间的联动机制，建立资助中心、高校和金融机构之间的合作平台，实现信息共享，促进协同配合，切实加强贷款管理工作。</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color w:val="333333"/>
          <w:kern w:val="0"/>
          <w:szCs w:val="21"/>
        </w:rPr>
        <w:t xml:space="preserve">　　（三）加大国家资助政策宣传力度。地方各级教育行政部门应在《普通高等学校招生专业目录》中全面、完整介绍高校学生资助政策，方便学生知晓国家资助政策，合理选择学校和专业。普通高中要大力开展高校资助政策宣传工作，介绍国家助学贷款、奖助学金等资助政策，免除家庭经济困难学生的后顾之忧。在发挥传统媒体作用的同时，充分运用网络时代新媒体传播渠道，创新宣传方式，增强宣传效果。对于艰苦边远山区和农村家庭经济困难学生集中的区域，有关地区教育行政部门应组织专门人员，深入基层和农村经济困难家庭宣讲资助政策。</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b/>
          <w:bCs/>
          <w:color w:val="333333"/>
          <w:kern w:val="0"/>
          <w:szCs w:val="21"/>
        </w:rPr>
        <w:t xml:space="preserve">　　四、其他事项</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color w:val="333333"/>
          <w:kern w:val="0"/>
          <w:szCs w:val="21"/>
        </w:rPr>
        <w:t xml:space="preserve">　　（一）本意见自发布之日起实施。各省、自治区、直辖市人民政府可结合本地实际情况，制订具体实施细则。</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color w:val="333333"/>
          <w:kern w:val="0"/>
          <w:szCs w:val="21"/>
        </w:rPr>
        <w:t xml:space="preserve">　　（二）本意见所指的借款学生是指全日制普通高等学校中家庭经济困难且已获得国家助学贷款资助的本专科学生（含高职学生）、研究生、第二学士学位学生。</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color w:val="333333"/>
          <w:kern w:val="0"/>
          <w:szCs w:val="21"/>
        </w:rPr>
        <w:t xml:space="preserve">　　（三）此前下发的国家助学贷款的有关政策和规定继续执行。凡与本意见不一致的，以本意见为准。</w:t>
      </w:r>
    </w:p>
    <w:p w:rsidR="00937AB9" w:rsidRPr="00937AB9" w:rsidRDefault="00937AB9" w:rsidP="00937AB9">
      <w:pPr>
        <w:widowControl/>
        <w:shd w:val="clear" w:color="auto" w:fill="F5FBFF"/>
        <w:spacing w:line="345" w:lineRule="atLeast"/>
        <w:jc w:val="right"/>
        <w:rPr>
          <w:rFonts w:ascii="ˎ̥" w:eastAsia="宋体" w:hAnsi="ˎ̥" w:cs="Arial"/>
          <w:color w:val="333333"/>
          <w:kern w:val="0"/>
          <w:szCs w:val="21"/>
        </w:rPr>
      </w:pPr>
      <w:r w:rsidRPr="00937AB9">
        <w:rPr>
          <w:rFonts w:ascii="ˎ̥" w:eastAsia="宋体" w:hAnsi="ˎ̥" w:cs="Arial"/>
          <w:color w:val="333333"/>
          <w:kern w:val="0"/>
          <w:szCs w:val="21"/>
        </w:rPr>
        <w:t xml:space="preserve">　　教育部</w:t>
      </w:r>
      <w:r w:rsidRPr="00937AB9">
        <w:rPr>
          <w:rFonts w:ascii="ˎ̥" w:eastAsia="宋体" w:hAnsi="ˎ̥" w:cs="Arial"/>
          <w:color w:val="333333"/>
          <w:kern w:val="0"/>
          <w:szCs w:val="21"/>
        </w:rPr>
        <w:t xml:space="preserve"> </w:t>
      </w:r>
      <w:r w:rsidRPr="00937AB9">
        <w:rPr>
          <w:rFonts w:ascii="ˎ̥" w:eastAsia="宋体" w:hAnsi="ˎ̥" w:cs="Arial"/>
          <w:color w:val="333333"/>
          <w:kern w:val="0"/>
          <w:szCs w:val="21"/>
        </w:rPr>
        <w:t>财政部</w:t>
      </w:r>
      <w:r w:rsidRPr="00937AB9">
        <w:rPr>
          <w:rFonts w:ascii="ˎ̥" w:eastAsia="宋体" w:hAnsi="ˎ̥" w:cs="Arial"/>
          <w:color w:val="333333"/>
          <w:kern w:val="0"/>
          <w:szCs w:val="21"/>
        </w:rPr>
        <w:t xml:space="preserve"> </w:t>
      </w:r>
      <w:r w:rsidRPr="00937AB9">
        <w:rPr>
          <w:rFonts w:ascii="ˎ̥" w:eastAsia="宋体" w:hAnsi="ˎ̥" w:cs="Arial"/>
          <w:color w:val="333333"/>
          <w:kern w:val="0"/>
          <w:szCs w:val="21"/>
        </w:rPr>
        <w:t>中国人民银行</w:t>
      </w:r>
      <w:r w:rsidRPr="00937AB9">
        <w:rPr>
          <w:rFonts w:ascii="ˎ̥" w:eastAsia="宋体" w:hAnsi="ˎ̥" w:cs="Arial"/>
          <w:color w:val="333333"/>
          <w:kern w:val="0"/>
          <w:szCs w:val="21"/>
        </w:rPr>
        <w:t xml:space="preserve"> </w:t>
      </w:r>
      <w:r w:rsidRPr="00937AB9">
        <w:rPr>
          <w:rFonts w:ascii="ˎ̥" w:eastAsia="宋体" w:hAnsi="ˎ̥" w:cs="Arial"/>
          <w:color w:val="333333"/>
          <w:kern w:val="0"/>
          <w:szCs w:val="21"/>
        </w:rPr>
        <w:t>银监会</w:t>
      </w:r>
    </w:p>
    <w:p w:rsidR="00937AB9" w:rsidRPr="00937AB9" w:rsidRDefault="00937AB9" w:rsidP="00937AB9">
      <w:pPr>
        <w:widowControl/>
        <w:shd w:val="clear" w:color="auto" w:fill="F5FBFF"/>
        <w:spacing w:line="345" w:lineRule="atLeast"/>
        <w:jc w:val="right"/>
        <w:rPr>
          <w:rFonts w:ascii="ˎ̥" w:eastAsia="宋体" w:hAnsi="ˎ̥" w:cs="Arial"/>
          <w:color w:val="333333"/>
          <w:kern w:val="0"/>
          <w:szCs w:val="21"/>
        </w:rPr>
      </w:pPr>
      <w:r w:rsidRPr="00937AB9">
        <w:rPr>
          <w:rFonts w:ascii="ˎ̥" w:eastAsia="宋体" w:hAnsi="ˎ̥" w:cs="Arial"/>
          <w:color w:val="333333"/>
          <w:kern w:val="0"/>
          <w:szCs w:val="21"/>
        </w:rPr>
        <w:t xml:space="preserve">　　</w:t>
      </w:r>
      <w:r w:rsidRPr="00937AB9">
        <w:rPr>
          <w:rFonts w:ascii="ˎ̥" w:eastAsia="宋体" w:hAnsi="ˎ̥" w:cs="Arial"/>
          <w:color w:val="333333"/>
          <w:kern w:val="0"/>
          <w:szCs w:val="21"/>
        </w:rPr>
        <w:t>2015</w:t>
      </w:r>
      <w:r w:rsidRPr="00937AB9">
        <w:rPr>
          <w:rFonts w:ascii="ˎ̥" w:eastAsia="宋体" w:hAnsi="ˎ̥" w:cs="Arial"/>
          <w:color w:val="333333"/>
          <w:kern w:val="0"/>
          <w:szCs w:val="21"/>
        </w:rPr>
        <w:t>年</w:t>
      </w:r>
      <w:r w:rsidRPr="00937AB9">
        <w:rPr>
          <w:rFonts w:ascii="ˎ̥" w:eastAsia="宋体" w:hAnsi="ˎ̥" w:cs="Arial"/>
          <w:color w:val="333333"/>
          <w:kern w:val="0"/>
          <w:szCs w:val="21"/>
        </w:rPr>
        <w:t>7</w:t>
      </w:r>
      <w:r w:rsidRPr="00937AB9">
        <w:rPr>
          <w:rFonts w:ascii="ˎ̥" w:eastAsia="宋体" w:hAnsi="ˎ̥" w:cs="Arial"/>
          <w:color w:val="333333"/>
          <w:kern w:val="0"/>
          <w:szCs w:val="21"/>
        </w:rPr>
        <w:t>月</w:t>
      </w:r>
      <w:r w:rsidRPr="00937AB9">
        <w:rPr>
          <w:rFonts w:ascii="ˎ̥" w:eastAsia="宋体" w:hAnsi="ˎ̥" w:cs="Arial"/>
          <w:color w:val="333333"/>
          <w:kern w:val="0"/>
          <w:szCs w:val="21"/>
        </w:rPr>
        <w:t>13</w:t>
      </w:r>
      <w:r w:rsidRPr="00937AB9">
        <w:rPr>
          <w:rFonts w:ascii="ˎ̥" w:eastAsia="宋体" w:hAnsi="ˎ̥" w:cs="Arial"/>
          <w:color w:val="333333"/>
          <w:kern w:val="0"/>
          <w:szCs w:val="21"/>
        </w:rPr>
        <w:t>日</w:t>
      </w:r>
    </w:p>
    <w:p w:rsidR="00937AB9" w:rsidRPr="00937AB9" w:rsidRDefault="00937AB9" w:rsidP="00937AB9">
      <w:pPr>
        <w:widowControl/>
        <w:shd w:val="clear" w:color="auto" w:fill="F5FBFF"/>
        <w:spacing w:line="345" w:lineRule="atLeast"/>
        <w:jc w:val="left"/>
        <w:rPr>
          <w:rFonts w:ascii="ˎ̥" w:eastAsia="宋体" w:hAnsi="ˎ̥" w:cs="Arial"/>
          <w:color w:val="333333"/>
          <w:kern w:val="0"/>
          <w:szCs w:val="21"/>
        </w:rPr>
      </w:pPr>
      <w:r w:rsidRPr="00937AB9">
        <w:rPr>
          <w:rFonts w:ascii="ˎ̥" w:eastAsia="宋体" w:hAnsi="ˎ̥" w:cs="Arial"/>
          <w:color w:val="333333"/>
          <w:kern w:val="0"/>
          <w:szCs w:val="21"/>
        </w:rPr>
        <w:lastRenderedPageBreak/>
        <w:br/>
      </w:r>
    </w:p>
    <w:p w:rsidR="00937AB9" w:rsidRPr="00937AB9" w:rsidRDefault="00937AB9" w:rsidP="00937AB9">
      <w:pPr>
        <w:widowControl/>
        <w:shd w:val="clear" w:color="auto" w:fill="F5FBFF"/>
        <w:spacing w:line="345" w:lineRule="atLeast"/>
        <w:jc w:val="left"/>
        <w:rPr>
          <w:rFonts w:ascii="ˎ̥" w:eastAsia="宋体" w:hAnsi="ˎ̥" w:cs="Arial"/>
          <w:vanish/>
          <w:color w:val="333333"/>
          <w:kern w:val="0"/>
          <w:szCs w:val="21"/>
        </w:rPr>
      </w:pPr>
      <w:hyperlink r:id="rId5" w:history="1">
        <w:r w:rsidRPr="00937AB9">
          <w:rPr>
            <w:rFonts w:ascii="ˎ̥" w:eastAsia="宋体" w:hAnsi="ˎ̥" w:cs="Arial"/>
            <w:vanish/>
            <w:color w:val="42414A"/>
            <w:kern w:val="0"/>
            <w:szCs w:val="21"/>
          </w:rPr>
          <w:t xml:space="preserve">&lt; </w:t>
        </w:r>
        <w:r w:rsidRPr="00937AB9">
          <w:rPr>
            <w:rFonts w:ascii="ˎ̥" w:eastAsia="宋体" w:hAnsi="ˎ̥" w:cs="Arial"/>
            <w:vanish/>
            <w:color w:val="42414A"/>
            <w:kern w:val="0"/>
            <w:szCs w:val="21"/>
          </w:rPr>
          <w:t>上一页</w:t>
        </w:r>
      </w:hyperlink>
      <w:r w:rsidRPr="00937AB9">
        <w:rPr>
          <w:rFonts w:ascii="ˎ̥" w:eastAsia="宋体" w:hAnsi="ˎ̥" w:cs="Arial"/>
          <w:vanish/>
          <w:color w:val="333333"/>
          <w:kern w:val="0"/>
          <w:szCs w:val="21"/>
        </w:rPr>
        <w:t>1</w:t>
      </w:r>
      <w:hyperlink r:id="rId6" w:history="1">
        <w:r w:rsidRPr="00937AB9">
          <w:rPr>
            <w:rFonts w:ascii="ˎ̥" w:eastAsia="宋体" w:hAnsi="ˎ̥" w:cs="Arial"/>
            <w:vanish/>
            <w:color w:val="42414A"/>
            <w:kern w:val="0"/>
            <w:szCs w:val="21"/>
          </w:rPr>
          <w:t>下一页</w:t>
        </w:r>
        <w:r w:rsidRPr="00937AB9">
          <w:rPr>
            <w:rFonts w:ascii="ˎ̥" w:eastAsia="宋体" w:hAnsi="ˎ̥" w:cs="Arial"/>
            <w:vanish/>
            <w:color w:val="42414A"/>
            <w:kern w:val="0"/>
            <w:szCs w:val="21"/>
          </w:rPr>
          <w:t xml:space="preserve">&gt; </w:t>
        </w:r>
      </w:hyperlink>
    </w:p>
    <w:p w:rsidR="00CE4E8B" w:rsidRPr="00937AB9" w:rsidRDefault="00937AB9" w:rsidP="00937AB9">
      <w:r w:rsidRPr="00937AB9">
        <w:rPr>
          <w:rFonts w:ascii="ˎ̥" w:eastAsia="宋体" w:hAnsi="ˎ̥" w:cs="Arial"/>
          <w:vanish/>
          <w:color w:val="333333"/>
          <w:kern w:val="0"/>
          <w:szCs w:val="21"/>
        </w:rPr>
        <w:pict/>
      </w:r>
      <w:bookmarkStart w:id="0" w:name="_GoBack"/>
      <w:bookmarkEnd w:id="0"/>
    </w:p>
    <w:sectPr w:rsidR="00CE4E8B" w:rsidRPr="00937AB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7AB9"/>
    <w:rsid w:val="00017F0D"/>
    <w:rsid w:val="00040059"/>
    <w:rsid w:val="00056ABC"/>
    <w:rsid w:val="00056B93"/>
    <w:rsid w:val="00057D7F"/>
    <w:rsid w:val="000A4C72"/>
    <w:rsid w:val="000D628A"/>
    <w:rsid w:val="0012091E"/>
    <w:rsid w:val="001B1717"/>
    <w:rsid w:val="001C0E64"/>
    <w:rsid w:val="001D59AB"/>
    <w:rsid w:val="00211969"/>
    <w:rsid w:val="0022487B"/>
    <w:rsid w:val="00226469"/>
    <w:rsid w:val="002A3A98"/>
    <w:rsid w:val="002B6CCB"/>
    <w:rsid w:val="003068FD"/>
    <w:rsid w:val="00363E6F"/>
    <w:rsid w:val="00381B5E"/>
    <w:rsid w:val="00433C33"/>
    <w:rsid w:val="00445260"/>
    <w:rsid w:val="00463930"/>
    <w:rsid w:val="004B4F8F"/>
    <w:rsid w:val="004B66CC"/>
    <w:rsid w:val="004C74BA"/>
    <w:rsid w:val="004F1316"/>
    <w:rsid w:val="00562708"/>
    <w:rsid w:val="00622E70"/>
    <w:rsid w:val="00643AEB"/>
    <w:rsid w:val="00662A64"/>
    <w:rsid w:val="006E4FE7"/>
    <w:rsid w:val="00735747"/>
    <w:rsid w:val="00937AB9"/>
    <w:rsid w:val="009544EF"/>
    <w:rsid w:val="009F7E32"/>
    <w:rsid w:val="00A02928"/>
    <w:rsid w:val="00A1655C"/>
    <w:rsid w:val="00A17613"/>
    <w:rsid w:val="00A345AB"/>
    <w:rsid w:val="00A42395"/>
    <w:rsid w:val="00A766CF"/>
    <w:rsid w:val="00A94B07"/>
    <w:rsid w:val="00B42713"/>
    <w:rsid w:val="00B97324"/>
    <w:rsid w:val="00C061C5"/>
    <w:rsid w:val="00C7739A"/>
    <w:rsid w:val="00C8587D"/>
    <w:rsid w:val="00C8777C"/>
    <w:rsid w:val="00CE4E8B"/>
    <w:rsid w:val="00D1064D"/>
    <w:rsid w:val="00D25564"/>
    <w:rsid w:val="00D307A8"/>
    <w:rsid w:val="00D43E38"/>
    <w:rsid w:val="00D82C81"/>
    <w:rsid w:val="00DF2918"/>
    <w:rsid w:val="00DF2E28"/>
    <w:rsid w:val="00E42229"/>
    <w:rsid w:val="00E65C42"/>
    <w:rsid w:val="00E97A66"/>
    <w:rsid w:val="00EB0B04"/>
    <w:rsid w:val="00F039A7"/>
    <w:rsid w:val="00F27FDC"/>
    <w:rsid w:val="00F536BA"/>
    <w:rsid w:val="00FA6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2570099">
      <w:marLeft w:val="0"/>
      <w:marRight w:val="0"/>
      <w:marTop w:val="0"/>
      <w:marBottom w:val="0"/>
      <w:divBdr>
        <w:top w:val="none" w:sz="0" w:space="0" w:color="auto"/>
        <w:left w:val="none" w:sz="0" w:space="0" w:color="auto"/>
        <w:bottom w:val="none" w:sz="0" w:space="0" w:color="auto"/>
        <w:right w:val="none" w:sz="0" w:space="0" w:color="auto"/>
      </w:divBdr>
    </w:div>
    <w:div w:id="1848010744">
      <w:bodyDiv w:val="1"/>
      <w:marLeft w:val="0"/>
      <w:marRight w:val="0"/>
      <w:marTop w:val="0"/>
      <w:marBottom w:val="0"/>
      <w:divBdr>
        <w:top w:val="none" w:sz="0" w:space="0" w:color="auto"/>
        <w:left w:val="none" w:sz="0" w:space="0" w:color="auto"/>
        <w:bottom w:val="none" w:sz="0" w:space="0" w:color="auto"/>
        <w:right w:val="none" w:sz="0" w:space="0" w:color="auto"/>
      </w:divBdr>
      <w:divsChild>
        <w:div w:id="397099936">
          <w:marLeft w:val="0"/>
          <w:marRight w:val="0"/>
          <w:marTop w:val="0"/>
          <w:marBottom w:val="0"/>
          <w:divBdr>
            <w:top w:val="none" w:sz="0" w:space="0" w:color="auto"/>
            <w:left w:val="none" w:sz="0" w:space="0" w:color="auto"/>
            <w:bottom w:val="none" w:sz="0" w:space="0" w:color="auto"/>
            <w:right w:val="single" w:sz="6" w:space="0" w:color="FFFFFF"/>
          </w:divBdr>
          <w:divsChild>
            <w:div w:id="461002405">
              <w:marLeft w:val="0"/>
              <w:marRight w:val="0"/>
              <w:marTop w:val="0"/>
              <w:marBottom w:val="0"/>
              <w:divBdr>
                <w:top w:val="single" w:sz="6" w:space="0" w:color="A3C3D2"/>
                <w:left w:val="single" w:sz="6" w:space="0" w:color="A3C3D2"/>
                <w:bottom w:val="single" w:sz="6" w:space="0" w:color="A3C3D2"/>
                <w:right w:val="single" w:sz="6" w:space="0" w:color="A3C3D2"/>
              </w:divBdr>
              <w:divsChild>
                <w:div w:id="1845893749">
                  <w:marLeft w:val="0"/>
                  <w:marRight w:val="0"/>
                  <w:marTop w:val="0"/>
                  <w:marBottom w:val="0"/>
                  <w:divBdr>
                    <w:top w:val="none" w:sz="0" w:space="0" w:color="auto"/>
                    <w:left w:val="none" w:sz="0" w:space="0" w:color="auto"/>
                    <w:bottom w:val="none" w:sz="0" w:space="0" w:color="auto"/>
                    <w:right w:val="none" w:sz="0" w:space="0" w:color="auto"/>
                  </w:divBdr>
                  <w:divsChild>
                    <w:div w:id="1863931256">
                      <w:marLeft w:val="0"/>
                      <w:marRight w:val="0"/>
                      <w:marTop w:val="0"/>
                      <w:marBottom w:val="0"/>
                      <w:divBdr>
                        <w:top w:val="none" w:sz="0" w:space="0" w:color="auto"/>
                        <w:left w:val="none" w:sz="0" w:space="0" w:color="auto"/>
                        <w:bottom w:val="single" w:sz="6" w:space="0" w:color="DAE6EC"/>
                        <w:right w:val="single" w:sz="6" w:space="30" w:color="DAE6EC"/>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cdgdc.edu.cn/xwyyjsjyxx/zxkb/hyxx/bgs/280589.shtml" TargetMode="External"/><Relationship Id="rId5" Type="http://schemas.openxmlformats.org/officeDocument/2006/relationships/hyperlink" Target="http://www.cdgdc.edu.cn/xwyyjsjyxx/zxkb/hyxx/bgs/280589.s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434</Words>
  <Characters>2474</Characters>
  <Application>Microsoft Office Word</Application>
  <DocSecurity>0</DocSecurity>
  <Lines>20</Lines>
  <Paragraphs>5</Paragraphs>
  <ScaleCrop>false</ScaleCrop>
  <Company/>
  <LinksUpToDate>false</LinksUpToDate>
  <CharactersWithSpaces>2903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china</cp:lastModifiedBy>
  <cp:revision>1</cp:revision>
  <dcterms:created xsi:type="dcterms:W3CDTF">2016-09-06T02:08:00Z</dcterms:created>
  <dcterms:modified xsi:type="dcterms:W3CDTF">2016-09-06T02:08:00Z</dcterms:modified>
</cp:coreProperties>
</file>